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before="3200"/>
        <w:jc w:val="center"/>
      </w:pPr>
      <w:r>
        <w:rPr>
          <w:b/>
          <w:bCs/>
          <w:sz w:val="56"/>
          <w:szCs w:val="56"/>
        </w:rPr>
        <w:t xml:space="preserve">[Yard name]</w:t>
      </w:r>
    </w:p>
    <w:p>
      <w:pPr>
        <w:spacing w:after="120"/>
        <w:jc w:val="center"/>
      </w:pPr>
      <w:r>
        <w:rPr>
          <w:color w:val="1D4ED8"/>
          <w:sz w:val="36"/>
          <w:szCs w:val="36"/>
        </w:rPr>
        <w:t xml:space="preserve">Truck Parking Business Plan</w:t>
      </w:r>
    </w:p>
    <w:p>
      <w:pPr>
        <w:spacing w:after="60"/>
        <w:jc w:val="center"/>
      </w:pPr>
      <w:r>
        <w:rPr>
          <w:color w:val="595959"/>
          <w:sz w:val="24"/>
          <w:szCs w:val="24"/>
        </w:rPr>
        <w:t xml:space="preserve">[Owner name]  ·  [City, State]  ·  [Month Year]</w:t>
      </w:r>
    </w:p>
    <w:p>
      <w:pPr>
        <w:jc w:val="center"/>
      </w:pPr>
      <w:r>
        <w:rPr>
          <w:color w:val="595959"/>
          <w:sz w:val="24"/>
          <w:szCs w:val="24"/>
        </w:rPr>
        <w:t xml:space="preserve">[Phone]  ·  [Email]</w:t>
      </w:r>
    </w:p>
    <w:p>
      <w:r>
        <w:br w:type="page"/>
      </w:r>
    </w:p>
    <w:p>
      <w:pPr>
        <w:pStyle w:val="Heading1"/>
        <w:spacing w:after="140" w:before="320"/>
      </w:pPr>
      <w:r>
        <w:t xml:space="preserve">How to use this template</w:t>
      </w:r>
    </w:p>
    <w:p>
      <w:pPr>
        <w:spacing w:after="120"/>
      </w:pPr>
      <w:r>
        <w:t xml:space="preserve">Every section below has two parts: a short note on what a lender, investor or landlord actually wants to see, and prompts to answer in your own words. Replace the bracketed text, keep your answers short and specific, and delete these guidance notes before you share the plan. Where the template shows dollar figures, they are typical US ranges from public listing data as of 2026 - use them as sanity checks, then put in your own local numbers. The companion spreadsheet (truck-parking-financial-model.xlsx) does the revenue and breakeven math for Section 8.</w:t>
      </w:r>
    </w:p>
    <w:p>
      <w:pPr>
        <w:pStyle w:val="Heading1"/>
        <w:spacing w:after="140" w:before="320"/>
      </w:pPr>
      <w:r>
        <w:t xml:space="preserve">1. Executive summary</w:t>
      </w:r>
    </w:p>
    <w:p>
      <w:pPr>
        <w:spacing w:after="120"/>
      </w:pPr>
      <w:r>
        <w:rPr>
          <w:i/>
          <w:iCs/>
          <w:color w:val="595959"/>
        </w:rPr>
        <w:t xml:space="preserve">Write this last, keep it under one page. A reader should learn in five sentences: what the yard is, where, how many spaces, what it charges, what it costs to open, and when it breaks even.</w:t>
      </w:r>
    </w:p>
    <w:p>
      <w:pPr>
        <w:pStyle w:val="ListParagraph"/>
        <w:numPr>
          <w:ilvl w:val="0"/>
          <w:numId w:val="2"/>
        </w:numPr>
        <w:spacing w:after="60"/>
      </w:pPr>
      <w:r>
        <w:t xml:space="preserve">One sentence on the business: a [X]-space secured truck parking yard at [location], serving [who].</w:t>
      </w:r>
    </w:p>
    <w:p>
      <w:pPr>
        <w:pStyle w:val="ListParagraph"/>
        <w:numPr>
          <w:ilvl w:val="0"/>
          <w:numId w:val="2"/>
        </w:numPr>
        <w:spacing w:after="60"/>
      </w:pPr>
      <w:r>
        <w:t xml:space="preserve">Why this location: the corridor, the freight generators nearby, the visible unmet demand.</w:t>
      </w:r>
    </w:p>
    <w:p>
      <w:pPr>
        <w:pStyle w:val="ListParagraph"/>
        <w:numPr>
          <w:ilvl w:val="0"/>
          <w:numId w:val="2"/>
        </w:numPr>
        <w:spacing w:after="60"/>
      </w:pPr>
      <w:r>
        <w:t xml:space="preserve">The ask, if any: how much you are raising or borrowing and what it buys.</w:t>
      </w:r>
    </w:p>
    <w:p>
      <w:pPr>
        <w:pStyle w:val="ListParagraph"/>
        <w:numPr>
          <w:ilvl w:val="0"/>
          <w:numId w:val="2"/>
        </w:numPr>
        <w:spacing w:after="60"/>
      </w:pPr>
      <w:r>
        <w:t xml:space="preserve">The two or three numbers that matter: total to open, monthly revenue at target occupancy, months to breakeven.</w:t>
      </w:r>
    </w:p>
    <w:p>
      <w:pPr>
        <w:spacing w:after="120"/>
      </w:pPr>
      <w:r>
        <w:rPr>
          <w:color w:val="9CA3AF"/>
        </w:rPr>
        <w:t xml:space="preserve">[Write this section here.]</w:t>
      </w:r>
    </w:p>
    <w:p>
      <w:pPr>
        <w:pStyle w:val="Heading1"/>
        <w:spacing w:after="140" w:before="320"/>
      </w:pPr>
      <w:r>
        <w:t xml:space="preserve">2. The opportunity</w:t>
      </w:r>
    </w:p>
    <w:p>
      <w:pPr>
        <w:spacing w:after="120"/>
      </w:pPr>
      <w:r>
        <w:rPr>
          <w:i/>
          <w:iCs/>
          <w:color w:val="595959"/>
        </w:rPr>
        <w:t xml:space="preserve">Lenders fund demand they can verify. The national numbers set the stage; your local evidence closes the argument.</w:t>
      </w:r>
    </w:p>
    <w:p>
      <w:pPr>
        <w:spacing w:after="120"/>
      </w:pPr>
      <w:r>
        <w:t xml:space="preserve">The national backdrop is well documented: in the FHWA’s Jason’s Law survey, 98% of roughly 11,700 drivers reported trouble finding safe parking, 75% at least weekly; the country has about 313,000 marked truck parking spaces - roughly one for every eleven drivers - and 79% of surveyed truck stop operators said they do not plan to add capacity. Demand is set by hours-of-service rules: a driver out of hours must stop whether or not a legal space exists.</w:t>
      </w:r>
    </w:p>
    <w:p>
      <w:pPr>
        <w:pStyle w:val="ListParagraph"/>
        <w:numPr>
          <w:ilvl w:val="0"/>
          <w:numId w:val="2"/>
        </w:numPr>
        <w:spacing w:after="60"/>
      </w:pPr>
      <w:r>
        <w:t xml:space="preserve">Local proof: describe (with photos if you can) trucks parked on ramps, shoulders and closed business aprons within a few miles of the site, and at what hours.</w:t>
      </w:r>
    </w:p>
    <w:p>
      <w:pPr>
        <w:pStyle w:val="ListParagraph"/>
        <w:numPr>
          <w:ilvl w:val="0"/>
          <w:numId w:val="2"/>
        </w:numPr>
        <w:spacing w:after="60"/>
      </w:pPr>
      <w:r>
        <w:t xml:space="preserve">Name the freight generators: interstates and exits, ports, intermodal terminals, distribution clusters, border crossings.</w:t>
      </w:r>
    </w:p>
    <w:p>
      <w:pPr>
        <w:pStyle w:val="ListParagraph"/>
        <w:numPr>
          <w:ilvl w:val="0"/>
          <w:numId w:val="2"/>
        </w:numPr>
        <w:spacing w:after="60"/>
      </w:pPr>
      <w:r>
        <w:t xml:space="preserve">Name the alternatives a driver has today within 15 minutes, and what they charge.</w:t>
      </w:r>
    </w:p>
    <w:p>
      <w:pPr>
        <w:spacing w:after="120"/>
      </w:pPr>
      <w:r>
        <w:rPr>
          <w:color w:val="9CA3AF"/>
        </w:rPr>
        <w:t xml:space="preserve">[Write this section here.]</w:t>
      </w:r>
    </w:p>
    <w:p>
      <w:pPr>
        <w:pStyle w:val="Heading1"/>
        <w:spacing w:after="140" w:before="320"/>
      </w:pPr>
      <w:r>
        <w:t xml:space="preserve">3. Site and facility</w:t>
      </w:r>
    </w:p>
    <w:p>
      <w:pPr>
        <w:spacing w:after="120"/>
      </w:pPr>
      <w:r>
        <w:rPr>
          <w:i/>
          <w:iCs/>
          <w:color w:val="595959"/>
        </w:rPr>
        <w:t xml:space="preserve">Describe the ground like an engineer, not a realtor. The rule of thumb is 25-30 full-size semi spaces per usable acre once real drive lanes are accounted for; long narrow parcels with one bad entrance yield less.</w:t>
      </w:r>
    </w:p>
    <w:p>
      <w:pPr>
        <w:pStyle w:val="ListParagraph"/>
        <w:numPr>
          <w:ilvl w:val="0"/>
          <w:numId w:val="2"/>
        </w:numPr>
        <w:spacing w:after="60"/>
      </w:pPr>
      <w:r>
        <w:t xml:space="preserve">Parcel: acreage, shape, surface (asphalt, gravel, millings), drainage, lighting, fencing, entrance geometry - can a 70+ ft combination enter and leave without blocking the road?</w:t>
      </w:r>
    </w:p>
    <w:p>
      <w:pPr>
        <w:pStyle w:val="ListParagraph"/>
        <w:numPr>
          <w:ilvl w:val="0"/>
          <w:numId w:val="2"/>
        </w:numPr>
        <w:spacing w:after="60"/>
      </w:pPr>
      <w:r>
        <w:t xml:space="preserve">Zoning: current zoning, whether commercial truck parking is permitted by right or needs a conditional use permit, and where you are in that process.</w:t>
      </w:r>
    </w:p>
    <w:p>
      <w:pPr>
        <w:pStyle w:val="ListParagraph"/>
        <w:numPr>
          <w:ilvl w:val="0"/>
          <w:numId w:val="2"/>
        </w:numPr>
        <w:spacing w:after="60"/>
      </w:pPr>
      <w:r>
        <w:t xml:space="preserve">Planned improvements and their quotes: grading, rock, lights, fence, gate or no gate.</w:t>
      </w:r>
    </w:p>
    <w:p>
      <w:pPr>
        <w:pStyle w:val="ListParagraph"/>
        <w:numPr>
          <w:ilvl w:val="0"/>
          <w:numId w:val="2"/>
        </w:numPr>
        <w:spacing w:after="60"/>
      </w:pPr>
      <w:r>
        <w:t xml:space="preserve">Space count: usable acres × 25-30 = planned spaces, by type (semi, bobtail, trailer drop).</w:t>
      </w:r>
    </w:p>
    <w:p>
      <w:pPr>
        <w:spacing w:after="120"/>
      </w:pPr>
      <w:r>
        <w:rPr>
          <w:color w:val="9CA3AF"/>
        </w:rPr>
        <w:t xml:space="preserve">[Write this section here.]</w:t>
      </w:r>
    </w:p>
    <w:p>
      <w:pPr>
        <w:pStyle w:val="Heading1"/>
        <w:spacing w:after="140" w:before="320"/>
      </w:pPr>
      <w:r>
        <w:t xml:space="preserve">4. Services and rates</w:t>
      </w:r>
    </w:p>
    <w:p>
      <w:pPr>
        <w:spacing w:after="120"/>
      </w:pPr>
      <w:r>
        <w:rPr>
          <w:i/>
          <w:iCs/>
          <w:color w:val="595959"/>
        </w:rPr>
        <w:t xml:space="preserve">Typical US listed ranges in 2026, for sanity-checking your own rate card. Security is the biggest single rate lever: open unfenced ground rents near the bottom of each range, fenced-lit-camera yards near the top.</w:t>
      </w:r>
    </w:p>
    <w:tbl>
      <w:tblPr>
        <w:tblW w:type="dxa" w:w="9700"/>
        <w:tblBorders>
          <w:top w:val="single" w:color="auto" w:sz="4"/>
          <w:left w:val="single" w:color="auto" w:sz="4"/>
          <w:bottom w:val="single" w:color="auto" w:sz="4"/>
          <w:right w:val="single" w:color="auto" w:sz="4"/>
          <w:insideH w:val="single" w:color="auto" w:sz="4"/>
          <w:insideV w:val="single" w:color="auto" w:sz="4"/>
        </w:tblBorders>
      </w:tblPr>
      <w:tblGrid>
        <w:gridCol w:w="3200"/>
        <w:gridCol w:w="2300"/>
        <w:gridCol w:w="4200"/>
      </w:tblGrid>
      <w:tr>
        <w:tc>
          <w:tcPr>
            <w:tcW w:type="dxa" w:w="3200"/>
            <w:shd w:fill="EEF2FF" w:val="clear"/>
            <w:tcMar>
              <w:top w:type="dxa" w:w="60"/>
              <w:left w:type="dxa" w:w="100"/>
              <w:bottom w:type="dxa" w:w="60"/>
              <w:right w:type="dxa" w:w="100"/>
            </w:tcMar>
          </w:tcPr>
          <w:p>
            <w:r>
              <w:rPr>
                <w:b/>
                <w:bCs/>
              </w:rPr>
              <w:t xml:space="preserve">Service</w:t>
            </w:r>
          </w:p>
        </w:tc>
        <w:tc>
          <w:tcPr>
            <w:tcW w:type="dxa" w:w="2300"/>
            <w:shd w:fill="EEF2FF" w:val="clear"/>
            <w:tcMar>
              <w:top w:type="dxa" w:w="60"/>
              <w:left w:type="dxa" w:w="100"/>
              <w:bottom w:type="dxa" w:w="60"/>
              <w:right w:type="dxa" w:w="100"/>
            </w:tcMar>
          </w:tcPr>
          <w:p>
            <w:r>
              <w:rPr>
                <w:b/>
                <w:bCs/>
              </w:rPr>
              <w:t xml:space="preserve">Typical US range</w:t>
            </w:r>
          </w:p>
        </w:tc>
        <w:tc>
          <w:tcPr>
            <w:tcW w:type="dxa" w:w="4200"/>
            <w:shd w:fill="EEF2FF" w:val="clear"/>
            <w:tcMar>
              <w:top w:type="dxa" w:w="60"/>
              <w:left w:type="dxa" w:w="100"/>
              <w:bottom w:type="dxa" w:w="60"/>
              <w:right w:type="dxa" w:w="100"/>
            </w:tcMar>
          </w:tcPr>
          <w:p>
            <w:r>
              <w:rPr>
                <w:b/>
                <w:bCs/>
              </w:rPr>
              <w:t xml:space="preserve">Your rate</w:t>
            </w:r>
          </w:p>
        </w:tc>
      </w:tr>
      <w:tr>
        <w:tc>
          <w:tcPr>
            <w:tcW w:type="dxa" w:w="3200"/>
            <w:tcMar>
              <w:top w:type="dxa" w:w="60"/>
              <w:left w:type="dxa" w:w="100"/>
              <w:bottom w:type="dxa" w:w="60"/>
              <w:right w:type="dxa" w:w="100"/>
            </w:tcMar>
          </w:tcPr>
          <w:p>
            <w:r>
              <w:rPr>
                <w:b w:val="false"/>
                <w:bCs w:val="false"/>
              </w:rPr>
              <w:t xml:space="preserve">Overnight / daily (semi)</w:t>
            </w:r>
          </w:p>
        </w:tc>
        <w:tc>
          <w:tcPr>
            <w:tcW w:type="dxa" w:w="2300"/>
            <w:tcMar>
              <w:top w:type="dxa" w:w="60"/>
              <w:left w:type="dxa" w:w="100"/>
              <w:bottom w:type="dxa" w:w="60"/>
              <w:right w:type="dxa" w:w="100"/>
            </w:tcMar>
          </w:tcPr>
          <w:p>
            <w:pPr>
              <w:jc w:val="right"/>
            </w:pPr>
            <w:r>
              <w:rPr>
                <w:b w:val="false"/>
                <w:bCs w:val="false"/>
              </w:rPr>
              <w:t xml:space="preserve">$15 - $40 / night</w:t>
            </w:r>
          </w:p>
        </w:tc>
        <w:tc>
          <w:tcPr>
            <w:tcW w:type="dxa" w:w="4200"/>
            <w:tcMar>
              <w:top w:type="dxa" w:w="60"/>
              <w:left w:type="dxa" w:w="100"/>
              <w:bottom w:type="dxa" w:w="60"/>
              <w:right w:type="dxa" w:w="100"/>
            </w:tcMar>
          </w:tcPr>
          <w:p>
            <w:pPr>
              <w:jc w:val="right"/>
            </w:pPr>
            <w:r>
              <w:rPr>
                <w:b w:val="false"/>
                <w:bCs w:val="false"/>
              </w:rPr>
              <w:t xml:space="preserve">$</w:t>
            </w:r>
          </w:p>
        </w:tc>
      </w:tr>
      <w:tr>
        <w:tc>
          <w:tcPr>
            <w:tcW w:type="dxa" w:w="3200"/>
            <w:tcMar>
              <w:top w:type="dxa" w:w="60"/>
              <w:left w:type="dxa" w:w="100"/>
              <w:bottom w:type="dxa" w:w="60"/>
              <w:right w:type="dxa" w:w="100"/>
            </w:tcMar>
          </w:tcPr>
          <w:p>
            <w:r>
              <w:rPr>
                <w:b w:val="false"/>
                <w:bCs w:val="false"/>
              </w:rPr>
              <w:t xml:space="preserve">Weekly</w:t>
            </w:r>
          </w:p>
        </w:tc>
        <w:tc>
          <w:tcPr>
            <w:tcW w:type="dxa" w:w="2300"/>
            <w:tcMar>
              <w:top w:type="dxa" w:w="60"/>
              <w:left w:type="dxa" w:w="100"/>
              <w:bottom w:type="dxa" w:w="60"/>
              <w:right w:type="dxa" w:w="100"/>
            </w:tcMar>
          </w:tcPr>
          <w:p>
            <w:pPr>
              <w:jc w:val="right"/>
            </w:pPr>
            <w:r>
              <w:rPr>
                <w:b w:val="false"/>
                <w:bCs w:val="false"/>
              </w:rPr>
              <w:t xml:space="preserve">$75 - $100 / week</w:t>
            </w:r>
          </w:p>
        </w:tc>
        <w:tc>
          <w:tcPr>
            <w:tcW w:type="dxa" w:w="4200"/>
            <w:tcMar>
              <w:top w:type="dxa" w:w="60"/>
              <w:left w:type="dxa" w:w="100"/>
              <w:bottom w:type="dxa" w:w="60"/>
              <w:right w:type="dxa" w:w="100"/>
            </w:tcMar>
          </w:tcPr>
          <w:p>
            <w:pPr>
              <w:jc w:val="right"/>
            </w:pPr>
            <w:r>
              <w:rPr>
                <w:b w:val="false"/>
                <w:bCs w:val="false"/>
              </w:rPr>
              <w:t xml:space="preserve">$</w:t>
            </w:r>
          </w:p>
        </w:tc>
      </w:tr>
      <w:tr>
        <w:tc>
          <w:tcPr>
            <w:tcW w:type="dxa" w:w="3200"/>
            <w:tcMar>
              <w:top w:type="dxa" w:w="60"/>
              <w:left w:type="dxa" w:w="100"/>
              <w:bottom w:type="dxa" w:w="60"/>
              <w:right w:type="dxa" w:w="100"/>
            </w:tcMar>
          </w:tcPr>
          <w:p>
            <w:r>
              <w:rPr>
                <w:b w:val="false"/>
                <w:bCs w:val="false"/>
              </w:rPr>
              <w:t xml:space="preserve">Monthly (full semi setup)</w:t>
            </w:r>
          </w:p>
        </w:tc>
        <w:tc>
          <w:tcPr>
            <w:tcW w:type="dxa" w:w="2300"/>
            <w:tcMar>
              <w:top w:type="dxa" w:w="60"/>
              <w:left w:type="dxa" w:w="100"/>
              <w:bottom w:type="dxa" w:w="60"/>
              <w:right w:type="dxa" w:w="100"/>
            </w:tcMar>
          </w:tcPr>
          <w:p>
            <w:pPr>
              <w:jc w:val="right"/>
            </w:pPr>
            <w:r>
              <w:rPr>
                <w:b w:val="false"/>
                <w:bCs w:val="false"/>
              </w:rPr>
              <w:t xml:space="preserve">$150 - $500 / month</w:t>
            </w:r>
          </w:p>
        </w:tc>
        <w:tc>
          <w:tcPr>
            <w:tcW w:type="dxa" w:w="4200"/>
            <w:tcMar>
              <w:top w:type="dxa" w:w="60"/>
              <w:left w:type="dxa" w:w="100"/>
              <w:bottom w:type="dxa" w:w="60"/>
              <w:right w:type="dxa" w:w="100"/>
            </w:tcMar>
          </w:tcPr>
          <w:p>
            <w:pPr>
              <w:jc w:val="right"/>
            </w:pPr>
            <w:r>
              <w:rPr>
                <w:b w:val="false"/>
                <w:bCs w:val="false"/>
              </w:rPr>
              <w:t xml:space="preserve">$</w:t>
            </w:r>
          </w:p>
        </w:tc>
      </w:tr>
      <w:tr>
        <w:tc>
          <w:tcPr>
            <w:tcW w:type="dxa" w:w="3200"/>
            <w:tcMar>
              <w:top w:type="dxa" w:w="60"/>
              <w:left w:type="dxa" w:w="100"/>
              <w:bottom w:type="dxa" w:w="60"/>
              <w:right w:type="dxa" w:w="100"/>
            </w:tcMar>
          </w:tcPr>
          <w:p>
            <w:r>
              <w:rPr>
                <w:b w:val="false"/>
                <w:bCs w:val="false"/>
              </w:rPr>
              <w:t xml:space="preserve">Bobtail / box truck monthly</w:t>
            </w:r>
          </w:p>
        </w:tc>
        <w:tc>
          <w:tcPr>
            <w:tcW w:type="dxa" w:w="2300"/>
            <w:tcMar>
              <w:top w:type="dxa" w:w="60"/>
              <w:left w:type="dxa" w:w="100"/>
              <w:bottom w:type="dxa" w:w="60"/>
              <w:right w:type="dxa" w:w="100"/>
            </w:tcMar>
          </w:tcPr>
          <w:p>
            <w:pPr>
              <w:jc w:val="right"/>
            </w:pPr>
            <w:r>
              <w:rPr>
                <w:b w:val="false"/>
                <w:bCs w:val="false"/>
              </w:rPr>
              <w:t xml:space="preserve">$50 - $150 / month</w:t>
            </w:r>
          </w:p>
        </w:tc>
        <w:tc>
          <w:tcPr>
            <w:tcW w:type="dxa" w:w="4200"/>
            <w:tcMar>
              <w:top w:type="dxa" w:w="60"/>
              <w:left w:type="dxa" w:w="100"/>
              <w:bottom w:type="dxa" w:w="60"/>
              <w:right w:type="dxa" w:w="100"/>
            </w:tcMar>
          </w:tcPr>
          <w:p>
            <w:pPr>
              <w:jc w:val="right"/>
            </w:pPr>
            <w:r>
              <w:rPr>
                <w:b w:val="false"/>
                <w:bCs w:val="false"/>
              </w:rPr>
              <w:t xml:space="preserve">$</w:t>
            </w:r>
          </w:p>
        </w:tc>
      </w:tr>
      <w:tr>
        <w:tc>
          <w:tcPr>
            <w:tcW w:type="dxa" w:w="3200"/>
            <w:tcMar>
              <w:top w:type="dxa" w:w="60"/>
              <w:left w:type="dxa" w:w="100"/>
              <w:bottom w:type="dxa" w:w="60"/>
              <w:right w:type="dxa" w:w="100"/>
            </w:tcMar>
          </w:tcPr>
          <w:p>
            <w:r>
              <w:rPr>
                <w:b w:val="false"/>
                <w:bCs w:val="false"/>
              </w:rPr>
              <w:t xml:space="preserve">Trailer drop / storage</w:t>
            </w:r>
          </w:p>
        </w:tc>
        <w:tc>
          <w:tcPr>
            <w:tcW w:type="dxa" w:w="2300"/>
            <w:tcMar>
              <w:top w:type="dxa" w:w="60"/>
              <w:left w:type="dxa" w:w="100"/>
              <w:bottom w:type="dxa" w:w="60"/>
              <w:right w:type="dxa" w:w="100"/>
            </w:tcMar>
          </w:tcPr>
          <w:p>
            <w:pPr>
              <w:jc w:val="right"/>
            </w:pPr>
            <w:r>
              <w:rPr>
                <w:b w:val="false"/>
                <w:bCs w:val="false"/>
              </w:rPr>
              <w:t xml:space="preserve">$75 - $200 / month</w:t>
            </w:r>
          </w:p>
        </w:tc>
        <w:tc>
          <w:tcPr>
            <w:tcW w:type="dxa" w:w="4200"/>
            <w:tcMar>
              <w:top w:type="dxa" w:w="60"/>
              <w:left w:type="dxa" w:w="100"/>
              <w:bottom w:type="dxa" w:w="60"/>
              <w:right w:type="dxa" w:w="100"/>
            </w:tcMar>
          </w:tcPr>
          <w:p>
            <w:pPr>
              <w:jc w:val="right"/>
            </w:pPr>
            <w:r>
              <w:rPr>
                <w:b w:val="false"/>
                <w:bCs w:val="false"/>
              </w:rPr>
              <w:t xml:space="preserve">$</w:t>
            </w:r>
          </w:p>
        </w:tc>
      </w:tr>
    </w:tbl>
    <w:p>
      <w:pPr>
        <w:spacing w:after="120"/>
      </w:pPr>
      <w:r>
        <w:t xml:space="preserve"/>
      </w:r>
    </w:p>
    <w:p>
      <w:pPr>
        <w:pStyle w:val="ListParagraph"/>
        <w:numPr>
          <w:ilvl w:val="0"/>
          <w:numId w:val="2"/>
        </w:numPr>
        <w:spacing w:after="60"/>
      </w:pPr>
      <w:r>
        <w:t xml:space="preserve">Which tiers you will offer at opening, and the discount for committed monthly contracts (10-20% off month-to-month is common).</w:t>
      </w:r>
    </w:p>
    <w:p>
      <w:pPr>
        <w:pStyle w:val="ListParagraph"/>
        <w:numPr>
          <w:ilvl w:val="0"/>
          <w:numId w:val="2"/>
        </w:numPr>
        <w:spacing w:after="60"/>
      </w:pPr>
      <w:r>
        <w:t xml:space="preserve">Payment methods you will accept: cash, card, ACH, fleet invoicing - and who handles each.</w:t>
      </w:r>
    </w:p>
    <w:p>
      <w:pPr>
        <w:spacing w:after="120"/>
      </w:pPr>
      <w:r>
        <w:rPr>
          <w:color w:val="9CA3AF"/>
        </w:rPr>
        <w:t xml:space="preserve">[Write this section here.]</w:t>
      </w:r>
    </w:p>
    <w:p>
      <w:pPr>
        <w:pStyle w:val="Heading1"/>
        <w:spacing w:after="140" w:before="320"/>
      </w:pPr>
      <w:r>
        <w:t xml:space="preserve">5. Market and competition</w:t>
      </w:r>
    </w:p>
    <w:p>
      <w:pPr>
        <w:spacing w:after="120"/>
      </w:pPr>
      <w:r>
        <w:rPr>
          <w:i/>
          <w:iCs/>
          <w:color w:val="595959"/>
        </w:rPr>
        <w:t xml:space="preserve">Survey every paid option within your draw radius. A simple table beats prose.</w:t>
      </w:r>
    </w:p>
    <w:tbl>
      <w:tblPr>
        <w:tblW w:type="dxa" w:w="9700"/>
        <w:tblBorders>
          <w:top w:val="single" w:color="auto" w:sz="4"/>
          <w:left w:val="single" w:color="auto" w:sz="4"/>
          <w:bottom w:val="single" w:color="auto" w:sz="4"/>
          <w:right w:val="single" w:color="auto" w:sz="4"/>
          <w:insideH w:val="single" w:color="auto" w:sz="4"/>
          <w:insideV w:val="single" w:color="auto" w:sz="4"/>
        </w:tblBorders>
      </w:tblPr>
      <w:tblGrid>
        <w:gridCol w:w="3600"/>
        <w:gridCol w:w="2200"/>
        <w:gridCol w:w="2000"/>
        <w:gridCol w:w="1900"/>
      </w:tblGrid>
      <w:tr>
        <w:tc>
          <w:tcPr>
            <w:tcW w:type="dxa" w:w="3600"/>
            <w:shd w:fill="EEF2FF" w:val="clear"/>
            <w:tcMar>
              <w:top w:type="dxa" w:w="60"/>
              <w:left w:type="dxa" w:w="100"/>
              <w:bottom w:type="dxa" w:w="60"/>
              <w:right w:type="dxa" w:w="100"/>
            </w:tcMar>
          </w:tcPr>
          <w:p>
            <w:r>
              <w:rPr>
                <w:b/>
                <w:bCs/>
              </w:rPr>
              <w:t xml:space="preserve">Competitor</w:t>
            </w:r>
          </w:p>
        </w:tc>
        <w:tc>
          <w:tcPr>
            <w:tcW w:type="dxa" w:w="2200"/>
            <w:shd w:fill="EEF2FF" w:val="clear"/>
            <w:tcMar>
              <w:top w:type="dxa" w:w="60"/>
              <w:left w:type="dxa" w:w="100"/>
              <w:bottom w:type="dxa" w:w="60"/>
              <w:right w:type="dxa" w:w="100"/>
            </w:tcMar>
          </w:tcPr>
          <w:p>
            <w:r>
              <w:rPr>
                <w:b/>
                <w:bCs/>
              </w:rPr>
              <w:t xml:space="preserve">Distance</w:t>
            </w:r>
          </w:p>
        </w:tc>
        <w:tc>
          <w:tcPr>
            <w:tcW w:type="dxa" w:w="2000"/>
            <w:shd w:fill="EEF2FF" w:val="clear"/>
            <w:tcMar>
              <w:top w:type="dxa" w:w="60"/>
              <w:left w:type="dxa" w:w="100"/>
              <w:bottom w:type="dxa" w:w="60"/>
              <w:right w:type="dxa" w:w="100"/>
            </w:tcMar>
          </w:tcPr>
          <w:p>
            <w:r>
              <w:rPr>
                <w:b/>
                <w:bCs/>
              </w:rPr>
              <w:t xml:space="preserve">Daily rate</w:t>
            </w:r>
          </w:p>
        </w:tc>
        <w:tc>
          <w:tcPr>
            <w:tcW w:type="dxa" w:w="1900"/>
            <w:shd w:fill="EEF2FF" w:val="clear"/>
            <w:tcMar>
              <w:top w:type="dxa" w:w="60"/>
              <w:left w:type="dxa" w:w="100"/>
              <w:bottom w:type="dxa" w:w="60"/>
              <w:right w:type="dxa" w:w="100"/>
            </w:tcMar>
          </w:tcPr>
          <w:p>
            <w:r>
              <w:rPr>
                <w:b/>
                <w:bCs/>
              </w:rPr>
              <w:t xml:space="preserve">Monthly</w:t>
            </w:r>
          </w:p>
        </w:tc>
      </w:tr>
      <w:tr>
        <w:tc>
          <w:tcPr>
            <w:tcW w:type="dxa" w:w="3600"/>
            <w:tcMar>
              <w:top w:type="dxa" w:w="60"/>
              <w:left w:type="dxa" w:w="100"/>
              <w:bottom w:type="dxa" w:w="60"/>
              <w:right w:type="dxa" w:w="100"/>
            </w:tcMar>
          </w:tcPr>
          <w:p>
            <w:r>
              <w:rPr>
                <w:b w:val="false"/>
                <w:bCs w:val="false"/>
              </w:rPr>
              <w:t xml:space="preserve">[Truck stop / yard name]</w:t>
            </w:r>
          </w:p>
        </w:tc>
        <w:tc>
          <w:tcPr>
            <w:tcW w:type="dxa" w:w="2200"/>
            <w:tcMar>
              <w:top w:type="dxa" w:w="60"/>
              <w:left w:type="dxa" w:w="100"/>
              <w:bottom w:type="dxa" w:w="60"/>
              <w:right w:type="dxa" w:w="100"/>
            </w:tcMar>
          </w:tcPr>
          <w:p>
            <w:pPr>
              <w:jc w:val="right"/>
            </w:pPr>
            <w:r>
              <w:rPr>
                <w:b w:val="false"/>
                <w:bCs w:val="false"/>
              </w:rPr>
              <w:t xml:space="preserve">[mi]</w:t>
            </w:r>
          </w:p>
        </w:tc>
        <w:tc>
          <w:tcPr>
            <w:tcW w:type="dxa" w:w="2000"/>
            <w:tcMar>
              <w:top w:type="dxa" w:w="60"/>
              <w:left w:type="dxa" w:w="100"/>
              <w:bottom w:type="dxa" w:w="60"/>
              <w:right w:type="dxa" w:w="100"/>
            </w:tcMar>
          </w:tcPr>
          <w:p>
            <w:pPr>
              <w:jc w:val="right"/>
            </w:pPr>
            <w:r>
              <w:rPr>
                <w:b w:val="false"/>
                <w:bCs w:val="false"/>
              </w:rPr>
              <w:t xml:space="preserve">$</w:t>
            </w:r>
          </w:p>
        </w:tc>
        <w:tc>
          <w:tcPr>
            <w:tcW w:type="dxa" w:w="1900"/>
            <w:tcMar>
              <w:top w:type="dxa" w:w="60"/>
              <w:left w:type="dxa" w:w="100"/>
              <w:bottom w:type="dxa" w:w="60"/>
              <w:right w:type="dxa" w:w="100"/>
            </w:tcMar>
          </w:tcPr>
          <w:p>
            <w:pPr>
              <w:jc w:val="right"/>
            </w:pPr>
            <w:r>
              <w:rPr>
                <w:b w:val="false"/>
                <w:bCs w:val="false"/>
              </w:rPr>
              <w:t xml:space="preserve">$</w:t>
            </w:r>
          </w:p>
        </w:tc>
      </w:tr>
      <w:tr>
        <w:tc>
          <w:tcPr>
            <w:tcW w:type="dxa" w:w="3600"/>
            <w:tcMar>
              <w:top w:type="dxa" w:w="60"/>
              <w:left w:type="dxa" w:w="100"/>
              <w:bottom w:type="dxa" w:w="60"/>
              <w:right w:type="dxa" w:w="100"/>
            </w:tcMar>
          </w:tcPr>
          <w:p>
            <w:r>
              <w:rPr>
                <w:b w:val="false"/>
                <w:bCs w:val="false"/>
              </w:rPr>
              <w:t xml:space="preserve">[Truck stop / yard name]</w:t>
            </w:r>
          </w:p>
        </w:tc>
        <w:tc>
          <w:tcPr>
            <w:tcW w:type="dxa" w:w="2200"/>
            <w:tcMar>
              <w:top w:type="dxa" w:w="60"/>
              <w:left w:type="dxa" w:w="100"/>
              <w:bottom w:type="dxa" w:w="60"/>
              <w:right w:type="dxa" w:w="100"/>
            </w:tcMar>
          </w:tcPr>
          <w:p>
            <w:pPr>
              <w:jc w:val="right"/>
            </w:pPr>
            <w:r>
              <w:rPr>
                <w:b w:val="false"/>
                <w:bCs w:val="false"/>
              </w:rPr>
              <w:t xml:space="preserve">[mi]</w:t>
            </w:r>
          </w:p>
        </w:tc>
        <w:tc>
          <w:tcPr>
            <w:tcW w:type="dxa" w:w="2000"/>
            <w:tcMar>
              <w:top w:type="dxa" w:w="60"/>
              <w:left w:type="dxa" w:w="100"/>
              <w:bottom w:type="dxa" w:w="60"/>
              <w:right w:type="dxa" w:w="100"/>
            </w:tcMar>
          </w:tcPr>
          <w:p>
            <w:pPr>
              <w:jc w:val="right"/>
            </w:pPr>
            <w:r>
              <w:rPr>
                <w:b w:val="false"/>
                <w:bCs w:val="false"/>
              </w:rPr>
              <w:t xml:space="preserve">$</w:t>
            </w:r>
          </w:p>
        </w:tc>
        <w:tc>
          <w:tcPr>
            <w:tcW w:type="dxa" w:w="1900"/>
            <w:tcMar>
              <w:top w:type="dxa" w:w="60"/>
              <w:left w:type="dxa" w:w="100"/>
              <w:bottom w:type="dxa" w:w="60"/>
              <w:right w:type="dxa" w:w="100"/>
            </w:tcMar>
          </w:tcPr>
          <w:p>
            <w:pPr>
              <w:jc w:val="right"/>
            </w:pPr>
            <w:r>
              <w:rPr>
                <w:b w:val="false"/>
                <w:bCs w:val="false"/>
              </w:rPr>
              <w:t xml:space="preserve">$</w:t>
            </w:r>
          </w:p>
        </w:tc>
      </w:tr>
      <w:tr>
        <w:tc>
          <w:tcPr>
            <w:tcW w:type="dxa" w:w="3600"/>
            <w:tcMar>
              <w:top w:type="dxa" w:w="60"/>
              <w:left w:type="dxa" w:w="100"/>
              <w:bottom w:type="dxa" w:w="60"/>
              <w:right w:type="dxa" w:w="100"/>
            </w:tcMar>
          </w:tcPr>
          <w:p>
            <w:r>
              <w:rPr>
                <w:b w:val="false"/>
                <w:bCs w:val="false"/>
              </w:rPr>
              <w:t xml:space="preserve">[Marketplace listings nearby]</w:t>
            </w:r>
          </w:p>
        </w:tc>
        <w:tc>
          <w:tcPr>
            <w:tcW w:type="dxa" w:w="2200"/>
            <w:tcMar>
              <w:top w:type="dxa" w:w="60"/>
              <w:left w:type="dxa" w:w="100"/>
              <w:bottom w:type="dxa" w:w="60"/>
              <w:right w:type="dxa" w:w="100"/>
            </w:tcMar>
          </w:tcPr>
          <w:p>
            <w:pPr>
              <w:jc w:val="right"/>
            </w:pPr>
            <w:r>
              <w:rPr>
                <w:b w:val="false"/>
                <w:bCs w:val="false"/>
              </w:rPr>
              <w:t xml:space="preserve">[mi]</w:t>
            </w:r>
          </w:p>
        </w:tc>
        <w:tc>
          <w:tcPr>
            <w:tcW w:type="dxa" w:w="2000"/>
            <w:tcMar>
              <w:top w:type="dxa" w:w="60"/>
              <w:left w:type="dxa" w:w="100"/>
              <w:bottom w:type="dxa" w:w="60"/>
              <w:right w:type="dxa" w:w="100"/>
            </w:tcMar>
          </w:tcPr>
          <w:p>
            <w:pPr>
              <w:jc w:val="right"/>
            </w:pPr>
            <w:r>
              <w:rPr>
                <w:b w:val="false"/>
                <w:bCs w:val="false"/>
              </w:rPr>
              <w:t xml:space="preserve">$</w:t>
            </w:r>
          </w:p>
        </w:tc>
        <w:tc>
          <w:tcPr>
            <w:tcW w:type="dxa" w:w="1900"/>
            <w:tcMar>
              <w:top w:type="dxa" w:w="60"/>
              <w:left w:type="dxa" w:w="100"/>
              <w:bottom w:type="dxa" w:w="60"/>
              <w:right w:type="dxa" w:w="100"/>
            </w:tcMar>
          </w:tcPr>
          <w:p>
            <w:pPr>
              <w:jc w:val="right"/>
            </w:pPr>
            <w:r>
              <w:rPr>
                <w:b w:val="false"/>
                <w:bCs w:val="false"/>
              </w:rPr>
              <w:t xml:space="preserve">$</w:t>
            </w:r>
          </w:p>
        </w:tc>
      </w:tr>
    </w:tbl>
    <w:p>
      <w:pPr>
        <w:spacing w:after="120"/>
      </w:pPr>
      <w:r>
        <w:t xml:space="preserve"/>
      </w:r>
    </w:p>
    <w:p>
      <w:pPr>
        <w:pStyle w:val="ListParagraph"/>
        <w:numPr>
          <w:ilvl w:val="0"/>
          <w:numId w:val="2"/>
        </w:numPr>
        <w:spacing w:after="60"/>
      </w:pPr>
      <w:r>
        <w:t xml:space="preserve">What you will do differently: security, lighting, pull-through spaces, monthly terms, staffed gate.</w:t>
      </w:r>
    </w:p>
    <w:p>
      <w:pPr>
        <w:spacing w:after="120"/>
      </w:pPr>
      <w:r>
        <w:rPr>
          <w:color w:val="9CA3AF"/>
        </w:rPr>
        <w:t xml:space="preserve">[Write this section here.]</w:t>
      </w:r>
    </w:p>
    <w:p>
      <w:pPr>
        <w:pStyle w:val="Heading1"/>
        <w:spacing w:after="140" w:before="320"/>
      </w:pPr>
      <w:r>
        <w:t xml:space="preserve">6. Operations plan</w:t>
      </w:r>
    </w:p>
    <w:p>
      <w:pPr>
        <w:spacing w:after="120"/>
      </w:pPr>
      <w:r>
        <w:rPr>
          <w:i/>
          <w:iCs/>
          <w:color w:val="595959"/>
        </w:rPr>
        <w:t xml:space="preserve">This section decides whether the revenue in Section 8 is believable. The three leaks on every yard are trucks nobody recorded, nights nobody billed, and cash that never reached the owner - say concretely how you prevent each.</w:t>
      </w:r>
    </w:p>
    <w:p>
      <w:pPr>
        <w:pStyle w:val="ListParagraph"/>
        <w:numPr>
          <w:ilvl w:val="0"/>
          <w:numId w:val="2"/>
        </w:numPr>
        <w:spacing w:after="60"/>
      </w:pPr>
      <w:r>
        <w:t xml:space="preserve">Staffing: self-run, one attendant, or shifts; hours the gate is watched.</w:t>
      </w:r>
    </w:p>
    <w:p>
      <w:pPr>
        <w:pStyle w:val="ListParagraph"/>
        <w:numPr>
          <w:ilvl w:val="0"/>
          <w:numId w:val="2"/>
        </w:numPr>
        <w:spacing w:after="60"/>
      </w:pPr>
      <w:r>
        <w:t xml:space="preserve">Check-in and records: how every vehicle gets on the record (e.g., photo check-in with automatic plate reading), and how arrival times are proven in a dispute.</w:t>
      </w:r>
    </w:p>
    <w:p>
      <w:pPr>
        <w:pStyle w:val="ListParagraph"/>
        <w:numPr>
          <w:ilvl w:val="0"/>
          <w:numId w:val="2"/>
        </w:numPr>
        <w:spacing w:after="60"/>
      </w:pPr>
      <w:r>
        <w:t xml:space="preserve">Billing: how a day is counted (sliding 24 hours from arrival avoids calendar-day arguments), how debt follows a vehicle, how monthly and prepaid terms are tracked.</w:t>
      </w:r>
    </w:p>
    <w:p>
      <w:pPr>
        <w:pStyle w:val="ListParagraph"/>
        <w:numPr>
          <w:ilvl w:val="0"/>
          <w:numId w:val="2"/>
        </w:numPr>
        <w:spacing w:after="60"/>
      </w:pPr>
      <w:r>
        <w:t xml:space="preserve">Cash control: per-attendant attribution (each payment carries who took it), end-of-shift reconciliation against a known total, deposit routine.</w:t>
      </w:r>
    </w:p>
    <w:p>
      <w:pPr>
        <w:pStyle w:val="ListParagraph"/>
        <w:numPr>
          <w:ilvl w:val="0"/>
          <w:numId w:val="2"/>
        </w:numPr>
        <w:spacing w:after="60"/>
      </w:pPr>
      <w:r>
        <w:t xml:space="preserve">Delinquency and abandonment: your policy and its clock (a common US pattern: monthly converts to daily rate after ~14 days past due; abandonment declared around 30 days; then state process). Confirm your state’s rules.</w:t>
      </w:r>
    </w:p>
    <w:p>
      <w:pPr>
        <w:pStyle w:val="ListParagraph"/>
        <w:numPr>
          <w:ilvl w:val="0"/>
          <w:numId w:val="2"/>
        </w:numPr>
        <w:spacing w:after="60"/>
      </w:pPr>
      <w:r>
        <w:t xml:space="preserve">Insurance: general liability, and what your carrier requires of records and signage.</w:t>
      </w:r>
    </w:p>
    <w:p>
      <w:pPr>
        <w:spacing w:after="120"/>
      </w:pPr>
      <w:r>
        <w:rPr>
          <w:color w:val="9CA3AF"/>
        </w:rPr>
        <w:t xml:space="preserve">[Write this section here.]</w:t>
      </w:r>
    </w:p>
    <w:p>
      <w:pPr>
        <w:pStyle w:val="Heading1"/>
        <w:spacing w:after="140" w:before="320"/>
      </w:pPr>
      <w:r>
        <w:t xml:space="preserve">7. Marketing and demand capture</w:t>
      </w:r>
    </w:p>
    <w:p>
      <w:pPr>
        <w:spacing w:after="120"/>
      </w:pPr>
      <w:r>
        <w:rPr>
          <w:i/>
          <w:iCs/>
          <w:color w:val="595959"/>
        </w:rPr>
        <w:t xml:space="preserve">For a yard, marketing is mostly being findable and answering the phone. List the concrete channels.</w:t>
      </w:r>
    </w:p>
    <w:p>
      <w:pPr>
        <w:pStyle w:val="ListParagraph"/>
        <w:numPr>
          <w:ilvl w:val="0"/>
          <w:numId w:val="2"/>
        </w:numPr>
        <w:spacing w:after="60"/>
      </w:pPr>
      <w:r>
        <w:t xml:space="preserve">Google Business Profile with photos, hours and rates; highway-visible signage with a phone number.</w:t>
      </w:r>
    </w:p>
    <w:p>
      <w:pPr>
        <w:pStyle w:val="ListParagraph"/>
        <w:numPr>
          <w:ilvl w:val="0"/>
          <w:numId w:val="2"/>
        </w:numPr>
        <w:spacing w:after="60"/>
      </w:pPr>
      <w:r>
        <w:t xml:space="preserve">Marketplace listings (e.g., Truck Parking Club, SecurSpace) for transient demand - note they take a share of each booking, commonly leaving the owner 70-80%.</w:t>
      </w:r>
    </w:p>
    <w:p>
      <w:pPr>
        <w:pStyle w:val="ListParagraph"/>
        <w:numPr>
          <w:ilvl w:val="0"/>
          <w:numId w:val="2"/>
        </w:numPr>
        <w:spacing w:after="60"/>
      </w:pPr>
      <w:r>
        <w:t xml:space="preserve">Direct outreach to local fleets, brokers and repair shops for monthly contracts - the revenue base.</w:t>
      </w:r>
    </w:p>
    <w:p>
      <w:pPr>
        <w:spacing w:after="120"/>
      </w:pPr>
      <w:r>
        <w:rPr>
          <w:color w:val="9CA3AF"/>
        </w:rPr>
        <w:t xml:space="preserve">[Write this section here.]</w:t>
      </w:r>
    </w:p>
    <w:p>
      <w:pPr>
        <w:pStyle w:val="Heading1"/>
        <w:spacing w:after="140" w:before="320"/>
      </w:pPr>
      <w:r>
        <w:t xml:space="preserve">8. Financial plan</w:t>
      </w:r>
    </w:p>
    <w:p>
      <w:pPr>
        <w:spacing w:after="120"/>
      </w:pPr>
      <w:r>
        <w:rPr>
          <w:i/>
          <w:iCs/>
          <w:color w:val="595959"/>
        </w:rPr>
        <w:t xml:space="preserve">Use the companion spreadsheet for the math; paste its summary here. Below is the startup cost skeleton - replace with your quotes. Operating costs on leased ground commonly run 40-60% of gross; owned ground runs lower.</w:t>
      </w:r>
    </w:p>
    <w:p>
      <w:pPr>
        <w:pStyle w:val="Heading2"/>
        <w:spacing w:after="100" w:before="240"/>
      </w:pPr>
      <w:r>
        <w:t xml:space="preserve">Startup costs</w:t>
      </w:r>
    </w:p>
    <w:tbl>
      <w:tblPr>
        <w:tblW w:type="dxa" w:w="9700"/>
        <w:tblBorders>
          <w:top w:val="single" w:color="auto" w:sz="4"/>
          <w:left w:val="single" w:color="auto" w:sz="4"/>
          <w:bottom w:val="single" w:color="auto" w:sz="4"/>
          <w:right w:val="single" w:color="auto" w:sz="4"/>
          <w:insideH w:val="single" w:color="auto" w:sz="4"/>
          <w:insideV w:val="single" w:color="auto" w:sz="4"/>
        </w:tblBorders>
      </w:tblPr>
      <w:tblGrid>
        <w:gridCol w:w="4200"/>
        <w:gridCol w:w="2600"/>
        <w:gridCol w:w="2900"/>
      </w:tblGrid>
      <w:tr>
        <w:tc>
          <w:tcPr>
            <w:tcW w:type="dxa" w:w="4200"/>
            <w:shd w:fill="EEF2FF" w:val="clear"/>
            <w:tcMar>
              <w:top w:type="dxa" w:w="60"/>
              <w:left w:type="dxa" w:w="100"/>
              <w:bottom w:type="dxa" w:w="60"/>
              <w:right w:type="dxa" w:w="100"/>
            </w:tcMar>
          </w:tcPr>
          <w:p>
            <w:r>
              <w:rPr>
                <w:b/>
                <w:bCs/>
              </w:rPr>
              <w:t xml:space="preserve">Item</w:t>
            </w:r>
          </w:p>
        </w:tc>
        <w:tc>
          <w:tcPr>
            <w:tcW w:type="dxa" w:w="2600"/>
            <w:shd w:fill="EEF2FF" w:val="clear"/>
            <w:tcMar>
              <w:top w:type="dxa" w:w="60"/>
              <w:left w:type="dxa" w:w="100"/>
              <w:bottom w:type="dxa" w:w="60"/>
              <w:right w:type="dxa" w:w="100"/>
            </w:tcMar>
          </w:tcPr>
          <w:p>
            <w:r>
              <w:rPr>
                <w:b/>
                <w:bCs/>
              </w:rPr>
              <w:t xml:space="preserve">Typical note</w:t>
            </w:r>
          </w:p>
        </w:tc>
        <w:tc>
          <w:tcPr>
            <w:tcW w:type="dxa" w:w="2900"/>
            <w:shd w:fill="EEF2FF" w:val="clear"/>
            <w:tcMar>
              <w:top w:type="dxa" w:w="60"/>
              <w:left w:type="dxa" w:w="100"/>
              <w:bottom w:type="dxa" w:w="60"/>
              <w:right w:type="dxa" w:w="100"/>
            </w:tcMar>
          </w:tcPr>
          <w:p>
            <w:r>
              <w:rPr>
                <w:b/>
                <w:bCs/>
              </w:rPr>
              <w:t xml:space="preserve">Your quote</w:t>
            </w:r>
          </w:p>
        </w:tc>
      </w:tr>
      <w:tr>
        <w:tc>
          <w:tcPr>
            <w:tcW w:type="dxa" w:w="4200"/>
            <w:tcMar>
              <w:top w:type="dxa" w:w="60"/>
              <w:left w:type="dxa" w:w="100"/>
              <w:bottom w:type="dxa" w:w="60"/>
              <w:right w:type="dxa" w:w="100"/>
            </w:tcMar>
          </w:tcPr>
          <w:p>
            <w:r>
              <w:rPr>
                <w:b w:val="false"/>
                <w:bCs w:val="false"/>
              </w:rPr>
              <w:t xml:space="preserve">Grading and drainage</w:t>
            </w:r>
          </w:p>
        </w:tc>
        <w:tc>
          <w:tcPr>
            <w:tcW w:type="dxa" w:w="2600"/>
            <w:tcMar>
              <w:top w:type="dxa" w:w="60"/>
              <w:left w:type="dxa" w:w="100"/>
              <w:bottom w:type="dxa" w:w="60"/>
              <w:right w:type="dxa" w:w="100"/>
            </w:tcMar>
          </w:tcPr>
          <w:p>
            <w:pPr>
              <w:jc w:val="right"/>
            </w:pPr>
            <w:r>
              <w:rPr>
                <w:b w:val="false"/>
                <w:bCs w:val="false"/>
              </w:rPr>
              <w:t xml:space="preserve">Cannot be skipped</w:t>
            </w:r>
          </w:p>
        </w:tc>
        <w:tc>
          <w:tcPr>
            <w:tcW w:type="dxa" w:w="2900"/>
            <w:tcMar>
              <w:top w:type="dxa" w:w="60"/>
              <w:left w:type="dxa" w:w="100"/>
              <w:bottom w:type="dxa" w:w="60"/>
              <w:right w:type="dxa" w:w="100"/>
            </w:tcMar>
          </w:tcPr>
          <w:p>
            <w:pPr>
              <w:jc w:val="right"/>
            </w:pPr>
            <w:r>
              <w:rPr>
                <w:b w:val="false"/>
                <w:bCs w:val="false"/>
              </w:rPr>
              <w:t xml:space="preserve">$</w:t>
            </w:r>
          </w:p>
        </w:tc>
      </w:tr>
      <w:tr>
        <w:tc>
          <w:tcPr>
            <w:tcW w:type="dxa" w:w="4200"/>
            <w:tcMar>
              <w:top w:type="dxa" w:w="60"/>
              <w:left w:type="dxa" w:w="100"/>
              <w:bottom w:type="dxa" w:w="60"/>
              <w:right w:type="dxa" w:w="100"/>
            </w:tcMar>
          </w:tcPr>
          <w:p>
            <w:r>
              <w:rPr>
                <w:b w:val="false"/>
                <w:bCs w:val="false"/>
              </w:rPr>
              <w:t xml:space="preserve">Surface (gravel / millings)</w:t>
            </w:r>
          </w:p>
        </w:tc>
        <w:tc>
          <w:tcPr>
            <w:tcW w:type="dxa" w:w="2600"/>
            <w:tcMar>
              <w:top w:type="dxa" w:w="60"/>
              <w:left w:type="dxa" w:w="100"/>
              <w:bottom w:type="dxa" w:w="60"/>
              <w:right w:type="dxa" w:w="100"/>
            </w:tcMar>
          </w:tcPr>
          <w:p>
            <w:pPr>
              <w:jc w:val="right"/>
            </w:pPr>
            <w:r>
              <w:rPr>
                <w:b w:val="false"/>
                <w:bCs w:val="false"/>
              </w:rPr>
              <w:t xml:space="preserve">Per acre, staged is fine</w:t>
            </w:r>
          </w:p>
        </w:tc>
        <w:tc>
          <w:tcPr>
            <w:tcW w:type="dxa" w:w="2900"/>
            <w:tcMar>
              <w:top w:type="dxa" w:w="60"/>
              <w:left w:type="dxa" w:w="100"/>
              <w:bottom w:type="dxa" w:w="60"/>
              <w:right w:type="dxa" w:w="100"/>
            </w:tcMar>
          </w:tcPr>
          <w:p>
            <w:pPr>
              <w:jc w:val="right"/>
            </w:pPr>
            <w:r>
              <w:rPr>
                <w:b w:val="false"/>
                <w:bCs w:val="false"/>
              </w:rPr>
              <w:t xml:space="preserve">$</w:t>
            </w:r>
          </w:p>
        </w:tc>
      </w:tr>
      <w:tr>
        <w:tc>
          <w:tcPr>
            <w:tcW w:type="dxa" w:w="4200"/>
            <w:tcMar>
              <w:top w:type="dxa" w:w="60"/>
              <w:left w:type="dxa" w:w="100"/>
              <w:bottom w:type="dxa" w:w="60"/>
              <w:right w:type="dxa" w:w="100"/>
            </w:tcMar>
          </w:tcPr>
          <w:p>
            <w:r>
              <w:rPr>
                <w:b w:val="false"/>
                <w:bCs w:val="false"/>
              </w:rPr>
              <w:t xml:space="preserve">Lighting</w:t>
            </w:r>
          </w:p>
        </w:tc>
        <w:tc>
          <w:tcPr>
            <w:tcW w:type="dxa" w:w="2600"/>
            <w:tcMar>
              <w:top w:type="dxa" w:w="60"/>
              <w:left w:type="dxa" w:w="100"/>
              <w:bottom w:type="dxa" w:w="60"/>
              <w:right w:type="dxa" w:w="100"/>
            </w:tcMar>
          </w:tcPr>
          <w:p>
            <w:pPr>
              <w:jc w:val="right"/>
            </w:pPr>
            <w:r>
              <w:rPr>
                <w:b w:val="false"/>
                <w:bCs w:val="false"/>
              </w:rPr>
              <w:t xml:space="preserve">Top driver request</w:t>
            </w:r>
          </w:p>
        </w:tc>
        <w:tc>
          <w:tcPr>
            <w:tcW w:type="dxa" w:w="2900"/>
            <w:tcMar>
              <w:top w:type="dxa" w:w="60"/>
              <w:left w:type="dxa" w:w="100"/>
              <w:bottom w:type="dxa" w:w="60"/>
              <w:right w:type="dxa" w:w="100"/>
            </w:tcMar>
          </w:tcPr>
          <w:p>
            <w:pPr>
              <w:jc w:val="right"/>
            </w:pPr>
            <w:r>
              <w:rPr>
                <w:b w:val="false"/>
                <w:bCs w:val="false"/>
              </w:rPr>
              <w:t xml:space="preserve">$</w:t>
            </w:r>
          </w:p>
        </w:tc>
      </w:tr>
      <w:tr>
        <w:tc>
          <w:tcPr>
            <w:tcW w:type="dxa" w:w="4200"/>
            <w:tcMar>
              <w:top w:type="dxa" w:w="60"/>
              <w:left w:type="dxa" w:w="100"/>
              <w:bottom w:type="dxa" w:w="60"/>
              <w:right w:type="dxa" w:w="100"/>
            </w:tcMar>
          </w:tcPr>
          <w:p>
            <w:r>
              <w:rPr>
                <w:b w:val="false"/>
                <w:bCs w:val="false"/>
              </w:rPr>
              <w:t xml:space="preserve">Fencing and entrance</w:t>
            </w:r>
          </w:p>
        </w:tc>
        <w:tc>
          <w:tcPr>
            <w:tcW w:type="dxa" w:w="2600"/>
            <w:tcMar>
              <w:top w:type="dxa" w:w="60"/>
              <w:left w:type="dxa" w:w="100"/>
              <w:bottom w:type="dxa" w:w="60"/>
              <w:right w:type="dxa" w:w="100"/>
            </w:tcMar>
          </w:tcPr>
          <w:p>
            <w:pPr>
              <w:jc w:val="right"/>
            </w:pPr>
            <w:r>
              <w:rPr>
                <w:b w:val="false"/>
                <w:bCs w:val="false"/>
              </w:rPr>
              <w:t xml:space="preserve">Drives the secured premium</w:t>
            </w:r>
          </w:p>
        </w:tc>
        <w:tc>
          <w:tcPr>
            <w:tcW w:type="dxa" w:w="2900"/>
            <w:tcMar>
              <w:top w:type="dxa" w:w="60"/>
              <w:left w:type="dxa" w:w="100"/>
              <w:bottom w:type="dxa" w:w="60"/>
              <w:right w:type="dxa" w:w="100"/>
            </w:tcMar>
          </w:tcPr>
          <w:p>
            <w:pPr>
              <w:jc w:val="right"/>
            </w:pPr>
            <w:r>
              <w:rPr>
                <w:b w:val="false"/>
                <w:bCs w:val="false"/>
              </w:rPr>
              <w:t xml:space="preserve">$</w:t>
            </w:r>
          </w:p>
        </w:tc>
      </w:tr>
      <w:tr>
        <w:tc>
          <w:tcPr>
            <w:tcW w:type="dxa" w:w="4200"/>
            <w:tcMar>
              <w:top w:type="dxa" w:w="60"/>
              <w:left w:type="dxa" w:w="100"/>
              <w:bottom w:type="dxa" w:w="60"/>
              <w:right w:type="dxa" w:w="100"/>
            </w:tcMar>
          </w:tcPr>
          <w:p>
            <w:r>
              <w:rPr>
                <w:b w:val="false"/>
                <w:bCs w:val="false"/>
              </w:rPr>
              <w:t xml:space="preserve">Signage</w:t>
            </w:r>
          </w:p>
        </w:tc>
        <w:tc>
          <w:tcPr>
            <w:tcW w:type="dxa" w:w="2600"/>
            <w:tcMar>
              <w:top w:type="dxa" w:w="60"/>
              <w:left w:type="dxa" w:w="100"/>
              <w:bottom w:type="dxa" w:w="60"/>
              <w:right w:type="dxa" w:w="100"/>
            </w:tcMar>
          </w:tcPr>
          <w:p>
            <w:pPr>
              <w:jc w:val="right"/>
            </w:pPr>
            <w:r>
              <w:rPr>
                <w:b w:val="false"/>
                <w:bCs w:val="false"/>
              </w:rPr>
              <w:t xml:space="preserve">Highway-visible + rules board</w:t>
            </w:r>
          </w:p>
        </w:tc>
        <w:tc>
          <w:tcPr>
            <w:tcW w:type="dxa" w:w="2900"/>
            <w:tcMar>
              <w:top w:type="dxa" w:w="60"/>
              <w:left w:type="dxa" w:w="100"/>
              <w:bottom w:type="dxa" w:w="60"/>
              <w:right w:type="dxa" w:w="100"/>
            </w:tcMar>
          </w:tcPr>
          <w:p>
            <w:pPr>
              <w:jc w:val="right"/>
            </w:pPr>
            <w:r>
              <w:rPr>
                <w:b w:val="false"/>
                <w:bCs w:val="false"/>
              </w:rPr>
              <w:t xml:space="preserve">$</w:t>
            </w:r>
          </w:p>
        </w:tc>
      </w:tr>
      <w:tr>
        <w:tc>
          <w:tcPr>
            <w:tcW w:type="dxa" w:w="4200"/>
            <w:tcMar>
              <w:top w:type="dxa" w:w="60"/>
              <w:left w:type="dxa" w:w="100"/>
              <w:bottom w:type="dxa" w:w="60"/>
              <w:right w:type="dxa" w:w="100"/>
            </w:tcMar>
          </w:tcPr>
          <w:p>
            <w:r>
              <w:rPr>
                <w:b w:val="false"/>
                <w:bCs w:val="false"/>
              </w:rPr>
              <w:t xml:space="preserve">Insurance (first year)</w:t>
            </w:r>
          </w:p>
        </w:tc>
        <w:tc>
          <w:tcPr>
            <w:tcW w:type="dxa" w:w="2600"/>
            <w:tcMar>
              <w:top w:type="dxa" w:w="60"/>
              <w:left w:type="dxa" w:w="100"/>
              <w:bottom w:type="dxa" w:w="60"/>
              <w:right w:type="dxa" w:w="100"/>
            </w:tcMar>
          </w:tcPr>
          <w:p>
            <w:pPr>
              <w:jc w:val="right"/>
            </w:pPr>
            <w:r>
              <w:rPr>
                <w:b w:val="false"/>
                <w:bCs w:val="false"/>
              </w:rPr>
              <w:t xml:space="preserve">General liability</w:t>
            </w:r>
          </w:p>
        </w:tc>
        <w:tc>
          <w:tcPr>
            <w:tcW w:type="dxa" w:w="2900"/>
            <w:tcMar>
              <w:top w:type="dxa" w:w="60"/>
              <w:left w:type="dxa" w:w="100"/>
              <w:bottom w:type="dxa" w:w="60"/>
              <w:right w:type="dxa" w:w="100"/>
            </w:tcMar>
          </w:tcPr>
          <w:p>
            <w:pPr>
              <w:jc w:val="right"/>
            </w:pPr>
            <w:r>
              <w:rPr>
                <w:b w:val="false"/>
                <w:bCs w:val="false"/>
              </w:rPr>
              <w:t xml:space="preserve">$</w:t>
            </w:r>
          </w:p>
        </w:tc>
      </w:tr>
      <w:tr>
        <w:tc>
          <w:tcPr>
            <w:tcW w:type="dxa" w:w="4200"/>
            <w:tcMar>
              <w:top w:type="dxa" w:w="60"/>
              <w:left w:type="dxa" w:w="100"/>
              <w:bottom w:type="dxa" w:w="60"/>
              <w:right w:type="dxa" w:w="100"/>
            </w:tcMar>
          </w:tcPr>
          <w:p>
            <w:r>
              <w:rPr>
                <w:b w:val="false"/>
                <w:bCs w:val="false"/>
              </w:rPr>
              <w:t xml:space="preserve">Software and phone</w:t>
            </w:r>
          </w:p>
        </w:tc>
        <w:tc>
          <w:tcPr>
            <w:tcW w:type="dxa" w:w="2600"/>
            <w:tcMar>
              <w:top w:type="dxa" w:w="60"/>
              <w:left w:type="dxa" w:w="100"/>
              <w:bottom w:type="dxa" w:w="60"/>
              <w:right w:type="dxa" w:w="100"/>
            </w:tcMar>
          </w:tcPr>
          <w:p>
            <w:pPr>
              <w:jc w:val="right"/>
            </w:pPr>
            <w:r>
              <w:rPr>
                <w:b w:val="false"/>
                <w:bCs w:val="false"/>
              </w:rPr>
              <w:t xml:space="preserve">TIRpark: first month free, then one subscription per lot; runs on an Android phone</w:t>
            </w:r>
          </w:p>
        </w:tc>
        <w:tc>
          <w:tcPr>
            <w:tcW w:type="dxa" w:w="2900"/>
            <w:tcMar>
              <w:top w:type="dxa" w:w="60"/>
              <w:left w:type="dxa" w:w="100"/>
              <w:bottom w:type="dxa" w:w="60"/>
              <w:right w:type="dxa" w:w="100"/>
            </w:tcMar>
          </w:tcPr>
          <w:p>
            <w:pPr>
              <w:jc w:val="right"/>
            </w:pPr>
            <w:r>
              <w:rPr>
                <w:b w:val="false"/>
                <w:bCs w:val="false"/>
              </w:rPr>
              <w:t xml:space="preserve">$</w:t>
            </w:r>
          </w:p>
        </w:tc>
      </w:tr>
      <w:tr>
        <w:tc>
          <w:tcPr>
            <w:tcW w:type="dxa" w:w="4200"/>
            <w:tcMar>
              <w:top w:type="dxa" w:w="60"/>
              <w:left w:type="dxa" w:w="100"/>
              <w:bottom w:type="dxa" w:w="60"/>
              <w:right w:type="dxa" w:w="100"/>
            </w:tcMar>
          </w:tcPr>
          <w:p>
            <w:r>
              <w:rPr>
                <w:b w:val="false"/>
                <w:bCs w:val="false"/>
              </w:rPr>
              <w:t xml:space="preserve">Working capital reserve</w:t>
            </w:r>
          </w:p>
        </w:tc>
        <w:tc>
          <w:tcPr>
            <w:tcW w:type="dxa" w:w="2600"/>
            <w:tcMar>
              <w:top w:type="dxa" w:w="60"/>
              <w:left w:type="dxa" w:w="100"/>
              <w:bottom w:type="dxa" w:w="60"/>
              <w:right w:type="dxa" w:w="100"/>
            </w:tcMar>
          </w:tcPr>
          <w:p>
            <w:pPr>
              <w:jc w:val="right"/>
            </w:pPr>
            <w:r>
              <w:rPr>
                <w:b w:val="false"/>
                <w:bCs w:val="false"/>
              </w:rPr>
              <w:t xml:space="preserve">3-6 months of fixed costs</w:t>
            </w:r>
          </w:p>
        </w:tc>
        <w:tc>
          <w:tcPr>
            <w:tcW w:type="dxa" w:w="2900"/>
            <w:tcMar>
              <w:top w:type="dxa" w:w="60"/>
              <w:left w:type="dxa" w:w="100"/>
              <w:bottom w:type="dxa" w:w="60"/>
              <w:right w:type="dxa" w:w="100"/>
            </w:tcMar>
          </w:tcPr>
          <w:p>
            <w:pPr>
              <w:jc w:val="right"/>
            </w:pPr>
            <w:r>
              <w:rPr>
                <w:b w:val="false"/>
                <w:bCs w:val="false"/>
              </w:rPr>
              <w:t xml:space="preserve">$</w:t>
            </w:r>
          </w:p>
        </w:tc>
      </w:tr>
    </w:tbl>
    <w:p>
      <w:pPr>
        <w:spacing w:after="120"/>
      </w:pPr>
      <w:r>
        <w:t xml:space="preserve"/>
      </w:r>
    </w:p>
    <w:p>
      <w:pPr>
        <w:pStyle w:val="Heading2"/>
        <w:spacing w:after="100" w:before="240"/>
      </w:pPr>
      <w:r>
        <w:t xml:space="preserve">Revenue model</w:t>
      </w:r>
    </w:p>
    <w:p>
      <w:pPr>
        <w:spacing w:after="120"/>
      </w:pPr>
      <w:r>
        <w:t xml:space="preserve">Worked example to replace with your own (the spreadsheet recalculates it): a 3-acre parcel at 27 spaces per acre gives ~80 spaces. 55 monthly tenants at $250 is $13,750; 10 transient spaces averaging 50% occupancy at $25/night adds ~$3,750; total ~$17,500/month gross before operating costs. At 50% operating costs, ~$8,750/month contribution.</w:t>
      </w:r>
    </w:p>
    <w:p>
      <w:pPr>
        <w:pStyle w:val="ListParagraph"/>
        <w:numPr>
          <w:ilvl w:val="0"/>
          <w:numId w:val="2"/>
        </w:numPr>
        <w:spacing w:after="60"/>
      </w:pPr>
      <w:r>
        <w:t xml:space="preserve">Your inputs: spaces by type, target monthly tenant count and rate, transient occupancy assumption, seasonal swing.</w:t>
      </w:r>
    </w:p>
    <w:p>
      <w:pPr>
        <w:pStyle w:val="ListParagraph"/>
        <w:numPr>
          <w:ilvl w:val="0"/>
          <w:numId w:val="2"/>
        </w:numPr>
        <w:spacing w:after="60"/>
      </w:pPr>
      <w:r>
        <w:t xml:space="preserve">Breakeven month under your cost structure, and the occupancy needed to cover fixed costs.</w:t>
      </w:r>
    </w:p>
    <w:p>
      <w:pPr>
        <w:spacing w:after="120"/>
      </w:pPr>
      <w:r>
        <w:rPr>
          <w:color w:val="9CA3AF"/>
        </w:rPr>
        <w:t xml:space="preserve">[Write this section here.]</w:t>
      </w:r>
    </w:p>
    <w:p>
      <w:pPr>
        <w:pStyle w:val="Heading1"/>
        <w:spacing w:after="140" w:before="320"/>
      </w:pPr>
      <w:r>
        <w:t xml:space="preserve">9. Risks and mitigation</w:t>
      </w:r>
    </w:p>
    <w:p>
      <w:pPr>
        <w:spacing w:after="120"/>
      </w:pPr>
      <w:r>
        <w:rPr>
          <w:i/>
          <w:iCs/>
          <w:color w:val="595959"/>
        </w:rPr>
        <w:t xml:space="preserve">Name the real ones; a plan with no risks reads as a plan with no thought.</w:t>
      </w:r>
    </w:p>
    <w:p>
      <w:pPr>
        <w:pStyle w:val="ListParagraph"/>
        <w:numPr>
          <w:ilvl w:val="0"/>
          <w:numId w:val="2"/>
        </w:numPr>
        <w:spacing w:after="60"/>
      </w:pPr>
      <w:r>
        <w:t xml:space="preserve">Zoning or permit denial - mitigation: written confirmation before closing on the land.</w:t>
      </w:r>
    </w:p>
    <w:p>
      <w:pPr>
        <w:pStyle w:val="ListParagraph"/>
        <w:numPr>
          <w:ilvl w:val="0"/>
          <w:numId w:val="2"/>
        </w:numPr>
        <w:spacing w:after="60"/>
      </w:pPr>
      <w:r>
        <w:t xml:space="preserve">Slow fill - mitigation: marketplace listings for transient demand while monthly base builds.</w:t>
      </w:r>
    </w:p>
    <w:p>
      <w:pPr>
        <w:pStyle w:val="ListParagraph"/>
        <w:numPr>
          <w:ilvl w:val="0"/>
          <w:numId w:val="2"/>
        </w:numPr>
        <w:spacing w:after="60"/>
      </w:pPr>
      <w:r>
        <w:t xml:space="preserve">Revenue leakage on an open yard - mitigation: the record-keeping and cash controls in Section 6.</w:t>
      </w:r>
    </w:p>
    <w:p>
      <w:pPr>
        <w:pStyle w:val="ListParagraph"/>
        <w:numPr>
          <w:ilvl w:val="0"/>
          <w:numId w:val="2"/>
        </w:numPr>
        <w:spacing w:after="60"/>
      </w:pPr>
      <w:r>
        <w:t xml:space="preserve">Rate softness in a freight downturn - mitigation: monthly contracts, conservative occupancy assumptions.</w:t>
      </w:r>
    </w:p>
    <w:p>
      <w:pPr>
        <w:spacing w:after="120"/>
      </w:pPr>
      <w:r>
        <w:rPr>
          <w:color w:val="9CA3AF"/>
        </w:rPr>
        <w:t xml:space="preserve">[Write this section here.]</w:t>
      </w:r>
    </w:p>
    <w:p>
      <w:pPr>
        <w:pStyle w:val="Heading1"/>
        <w:spacing w:after="140" w:before="320"/>
      </w:pPr>
      <w:r>
        <w:t xml:space="preserve">10. Appendix checklist</w:t>
      </w:r>
    </w:p>
    <w:p>
      <w:pPr>
        <w:pStyle w:val="ListParagraph"/>
        <w:numPr>
          <w:ilvl w:val="0"/>
          <w:numId w:val="2"/>
        </w:numPr>
        <w:spacing w:after="60"/>
      </w:pPr>
      <w:r>
        <w:t xml:space="preserve">Site plan or aerial photo with space layout</w:t>
      </w:r>
    </w:p>
    <w:p>
      <w:pPr>
        <w:pStyle w:val="ListParagraph"/>
        <w:numPr>
          <w:ilvl w:val="0"/>
          <w:numId w:val="2"/>
        </w:numPr>
        <w:spacing w:after="60"/>
      </w:pPr>
      <w:r>
        <w:t xml:space="preserve">Zoning confirmation or permit correspondence</w:t>
      </w:r>
    </w:p>
    <w:p>
      <w:pPr>
        <w:pStyle w:val="ListParagraph"/>
        <w:numPr>
          <w:ilvl w:val="0"/>
          <w:numId w:val="2"/>
        </w:numPr>
        <w:spacing w:after="60"/>
      </w:pPr>
      <w:r>
        <w:t xml:space="preserve">Contractor quotes (grading, rock, lighting, fence)</w:t>
      </w:r>
    </w:p>
    <w:p>
      <w:pPr>
        <w:pStyle w:val="ListParagraph"/>
        <w:numPr>
          <w:ilvl w:val="0"/>
          <w:numId w:val="2"/>
        </w:numPr>
        <w:spacing w:after="60"/>
      </w:pPr>
      <w:r>
        <w:t xml:space="preserve">Insurance quote</w:t>
      </w:r>
    </w:p>
    <w:p>
      <w:pPr>
        <w:pStyle w:val="ListParagraph"/>
        <w:numPr>
          <w:ilvl w:val="0"/>
          <w:numId w:val="2"/>
        </w:numPr>
        <w:spacing w:after="60"/>
      </w:pPr>
      <w:r>
        <w:t xml:space="preserve">Competitor rate survey (photos of posted rates work)</w:t>
      </w:r>
    </w:p>
    <w:p>
      <w:pPr>
        <w:pStyle w:val="ListParagraph"/>
        <w:numPr>
          <w:ilvl w:val="0"/>
          <w:numId w:val="2"/>
        </w:numPr>
        <w:spacing w:after="60"/>
      </w:pPr>
      <w:r>
        <w:t xml:space="preserve">The financial model spreadsheet, printed summary tab</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95959"/>
        <w:sz w:val="18"/>
        <w:szCs w:val="18"/>
      </w:rPr>
      <w:t xml:space="preserve">Free template by TIRpark (tirpark.app) - use, edit and share it freely.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b/>
      <w:bCs/>
      <w:color w:val="111827"/>
      <w:sz w:val="32"/>
      <w:szCs w:val="32"/>
    </w:rPr>
  </w:style>
  <w:style w:type="paragraph" w:styleId="Heading2">
    <w:name w:val="Heading 2"/>
    <w:basedOn w:val="Normal"/>
    <w:next w:val="Normal"/>
    <w:qFormat/>
    <w:rPr>
      <w:b/>
      <w:bCs/>
      <w:color w:val="1D4ED8"/>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2026-07-25T14:25:45.157Z</dcterms:created>
  <dcterms:modified xsi:type="dcterms:W3CDTF">2026-07-25T14:25:45.158Z</dcterms:modified>
</cp:coreProperties>
</file>

<file path=docProps/custom.xml><?xml version="1.0" encoding="utf-8"?>
<Properties xmlns="http://schemas.openxmlformats.org/officeDocument/2006/custom-properties" xmlns:vt="http://schemas.openxmlformats.org/officeDocument/2006/docPropsVTypes"/>
</file>